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5470" w14:textId="06B3FA84" w:rsidR="006E0A29" w:rsidRPr="006E0A29" w:rsidRDefault="006E0A29" w:rsidP="00AB764C">
      <w:pPr>
        <w:jc w:val="center"/>
        <w:rPr>
          <w:b/>
          <w:bCs/>
          <w:sz w:val="26"/>
          <w:szCs w:val="26"/>
        </w:rPr>
      </w:pPr>
      <w:r w:rsidRPr="006E0A29">
        <w:rPr>
          <w:b/>
          <w:bCs/>
          <w:sz w:val="26"/>
          <w:szCs w:val="26"/>
        </w:rPr>
        <w:t>Proposed Revisions to the 2017 Florida Building Code – Mechanical, Sixth Edition</w:t>
      </w:r>
    </w:p>
    <w:p w14:paraId="76B99A32" w14:textId="0670E3A8" w:rsidR="00AB764C" w:rsidRPr="00AB764C" w:rsidRDefault="00AB764C" w:rsidP="00AB764C">
      <w:pPr>
        <w:jc w:val="center"/>
        <w:rPr>
          <w:b/>
          <w:bCs/>
        </w:rPr>
      </w:pPr>
      <w:r w:rsidRPr="00AB764C">
        <w:rPr>
          <w:b/>
          <w:bCs/>
        </w:rPr>
        <w:t>SECTION</w:t>
      </w:r>
      <w:r>
        <w:rPr>
          <w:b/>
          <w:bCs/>
        </w:rPr>
        <w:t xml:space="preserve"> </w:t>
      </w:r>
      <w:r w:rsidRPr="00AB764C">
        <w:rPr>
          <w:b/>
          <w:bCs/>
        </w:rPr>
        <w:t>908</w:t>
      </w:r>
      <w:r w:rsidRPr="00AB764C">
        <w:rPr>
          <w:b/>
          <w:bCs/>
        </w:rPr>
        <w:br/>
        <w:t>COOLING TOWERS, EVAPORATIVE CONDENSERS</w:t>
      </w:r>
      <w:r>
        <w:rPr>
          <w:b/>
          <w:bCs/>
        </w:rPr>
        <w:t xml:space="preserve"> </w:t>
      </w:r>
      <w:r w:rsidRPr="00AB764C">
        <w:rPr>
          <w:b/>
          <w:bCs/>
        </w:rPr>
        <w:t>AND FLUID COOLERS</w:t>
      </w:r>
    </w:p>
    <w:p w14:paraId="46E5B8B3" w14:textId="66235B2A" w:rsidR="00AB764C" w:rsidRPr="00AB764C" w:rsidRDefault="00AB764C" w:rsidP="00AB764C">
      <w:pPr>
        <w:rPr>
          <w:b/>
          <w:bCs/>
        </w:rPr>
      </w:pPr>
      <w:r w:rsidRPr="00AB764C">
        <w:rPr>
          <w:b/>
          <w:bCs/>
        </w:rPr>
        <w:t>908.1</w:t>
      </w:r>
      <w:r>
        <w:rPr>
          <w:b/>
          <w:bCs/>
        </w:rPr>
        <w:t xml:space="preserve"> </w:t>
      </w:r>
      <w:r w:rsidRPr="00AB764C">
        <w:rPr>
          <w:b/>
          <w:bCs/>
        </w:rPr>
        <w:t>General.</w:t>
      </w:r>
    </w:p>
    <w:p w14:paraId="75EB7341" w14:textId="7BCF44C7" w:rsidR="00AB764C" w:rsidRPr="00AB764C" w:rsidRDefault="00AB764C" w:rsidP="00AB764C">
      <w:r w:rsidRPr="00AB764C">
        <w:t>A cooling tower used in conjunction with an air-conditioning appliance shall be installed in accordance with the manufacturer’s instructions. Factory-built cooling towers shall be listed in accordance with UL 1995</w:t>
      </w:r>
      <w:r>
        <w:t xml:space="preserve"> </w:t>
      </w:r>
      <w:r w:rsidRPr="00AB764C">
        <w:rPr>
          <w:u w:val="single"/>
        </w:rPr>
        <w:t xml:space="preserve">or </w:t>
      </w:r>
      <w:r w:rsidR="00C3777F" w:rsidRPr="00C3777F">
        <w:rPr>
          <w:u w:val="single"/>
        </w:rPr>
        <w:t>UL/CSA</w:t>
      </w:r>
      <w:r w:rsidR="00C3777F">
        <w:rPr>
          <w:u w:val="single"/>
        </w:rPr>
        <w:t xml:space="preserve"> </w:t>
      </w:r>
      <w:r w:rsidRPr="00AB764C">
        <w:rPr>
          <w:u w:val="single"/>
        </w:rPr>
        <w:t>60335-2-40</w:t>
      </w:r>
      <w:r w:rsidRPr="00AB764C">
        <w:t>.</w:t>
      </w:r>
    </w:p>
    <w:p w14:paraId="133FC984" w14:textId="689F1728" w:rsidR="00AB764C" w:rsidRPr="00AB764C" w:rsidRDefault="00AB764C" w:rsidP="00AB764C">
      <w:pPr>
        <w:jc w:val="center"/>
        <w:rPr>
          <w:b/>
          <w:bCs/>
        </w:rPr>
      </w:pPr>
      <w:r w:rsidRPr="00AB764C">
        <w:rPr>
          <w:b/>
          <w:bCs/>
        </w:rPr>
        <w:t>SECTION</w:t>
      </w:r>
      <w:r>
        <w:rPr>
          <w:b/>
          <w:bCs/>
        </w:rPr>
        <w:t xml:space="preserve"> </w:t>
      </w:r>
      <w:r w:rsidRPr="00AB764C">
        <w:rPr>
          <w:b/>
          <w:bCs/>
        </w:rPr>
        <w:t>918</w:t>
      </w:r>
      <w:r w:rsidRPr="00AB764C">
        <w:rPr>
          <w:b/>
          <w:bCs/>
        </w:rPr>
        <w:br/>
        <w:t>FORCED-AIR WARM-AIR FURNACES</w:t>
      </w:r>
    </w:p>
    <w:p w14:paraId="27C77E67" w14:textId="756D4361" w:rsidR="00AB764C" w:rsidRPr="00AB764C" w:rsidRDefault="00AB764C" w:rsidP="00AB764C">
      <w:pPr>
        <w:rPr>
          <w:b/>
          <w:bCs/>
        </w:rPr>
      </w:pPr>
      <w:r w:rsidRPr="00AB764C">
        <w:rPr>
          <w:b/>
          <w:bCs/>
        </w:rPr>
        <w:t>918.1</w:t>
      </w:r>
      <w:r>
        <w:rPr>
          <w:b/>
          <w:bCs/>
        </w:rPr>
        <w:t xml:space="preserve"> </w:t>
      </w:r>
      <w:r w:rsidRPr="00AB764C">
        <w:rPr>
          <w:b/>
          <w:bCs/>
        </w:rPr>
        <w:t>Forced-air furnaces.</w:t>
      </w:r>
    </w:p>
    <w:p w14:paraId="2B48EBF8" w14:textId="7E363810" w:rsidR="00AB764C" w:rsidRPr="00AB764C" w:rsidRDefault="00AB764C" w:rsidP="00AB764C">
      <w:r w:rsidRPr="00AB764C">
        <w:t>Oil-fired furnaces shall be tested in accordance with UL 727. Electric furnaces shall be tested in accordance with UL 1995</w:t>
      </w:r>
      <w:r>
        <w:t xml:space="preserve"> </w:t>
      </w:r>
      <w:r w:rsidRPr="00AB764C">
        <w:rPr>
          <w:u w:val="single"/>
        </w:rPr>
        <w:t xml:space="preserve">or </w:t>
      </w:r>
      <w:r w:rsidR="00C3777F" w:rsidRPr="00C3777F">
        <w:rPr>
          <w:u w:val="single"/>
        </w:rPr>
        <w:t>UL/CSA</w:t>
      </w:r>
      <w:r w:rsidR="00C3777F">
        <w:rPr>
          <w:u w:val="single"/>
        </w:rPr>
        <w:t xml:space="preserve"> </w:t>
      </w:r>
      <w:r w:rsidRPr="00AB764C">
        <w:rPr>
          <w:u w:val="single"/>
        </w:rPr>
        <w:t>60335-</w:t>
      </w:r>
      <w:r w:rsidR="006A3FC2">
        <w:rPr>
          <w:u w:val="single"/>
        </w:rPr>
        <w:t>2</w:t>
      </w:r>
      <w:r w:rsidRPr="00AB764C">
        <w:rPr>
          <w:u w:val="single"/>
        </w:rPr>
        <w:t>-40</w:t>
      </w:r>
      <w:r w:rsidRPr="00AB764C">
        <w:t>. Solid fuel furnaces shall be tested in accordance with UL 391. Forced-air furnaces shall be installed in accordance with the listings and the manufacturer’s instructions.</w:t>
      </w:r>
    </w:p>
    <w:p w14:paraId="299D9965" w14:textId="7D9F402E" w:rsidR="003C3372" w:rsidRPr="003C3372" w:rsidRDefault="003C3372" w:rsidP="003C3372">
      <w:pPr>
        <w:rPr>
          <w:b/>
          <w:bCs/>
        </w:rPr>
      </w:pPr>
      <w:r w:rsidRPr="003C3372">
        <w:rPr>
          <w:b/>
          <w:bCs/>
        </w:rPr>
        <w:t>918.2</w:t>
      </w:r>
      <w:r w:rsidR="003D02B4">
        <w:rPr>
          <w:b/>
          <w:bCs/>
        </w:rPr>
        <w:t xml:space="preserve"> </w:t>
      </w:r>
      <w:r w:rsidRPr="003C3372">
        <w:rPr>
          <w:b/>
          <w:bCs/>
        </w:rPr>
        <w:t>Heat pumps.</w:t>
      </w:r>
    </w:p>
    <w:p w14:paraId="1E127A9B" w14:textId="5EF8F4D7" w:rsidR="003C3372" w:rsidRPr="003C3372" w:rsidRDefault="003C3372" w:rsidP="003C3372">
      <w:r w:rsidRPr="003C3372">
        <w:t>Electric heat pumps shall be tested in accordance with UL 1995</w:t>
      </w:r>
      <w:r>
        <w:t xml:space="preserve"> </w:t>
      </w:r>
      <w:r w:rsidRPr="003C3372">
        <w:rPr>
          <w:u w:val="single"/>
        </w:rPr>
        <w:t xml:space="preserve">or </w:t>
      </w:r>
      <w:r w:rsidR="00C3777F" w:rsidRPr="00C3777F">
        <w:rPr>
          <w:u w:val="single"/>
        </w:rPr>
        <w:t>UL/CSA</w:t>
      </w:r>
      <w:r w:rsidR="00C3777F">
        <w:rPr>
          <w:u w:val="single"/>
        </w:rPr>
        <w:t xml:space="preserve"> </w:t>
      </w:r>
      <w:r w:rsidRPr="003C3372">
        <w:rPr>
          <w:u w:val="single"/>
        </w:rPr>
        <w:t>60335-2-40</w:t>
      </w:r>
      <w:r w:rsidRPr="003C3372">
        <w:t>.</w:t>
      </w:r>
    </w:p>
    <w:p w14:paraId="3F057B42" w14:textId="77777777" w:rsidR="003D02B4" w:rsidRPr="00B429B9" w:rsidRDefault="003D02B4" w:rsidP="003D02B4">
      <w:pPr>
        <w:jc w:val="center"/>
        <w:rPr>
          <w:b/>
          <w:bCs/>
        </w:rPr>
      </w:pPr>
      <w:r w:rsidRPr="00B429B9">
        <w:rPr>
          <w:b/>
          <w:bCs/>
        </w:rPr>
        <w:t>SECTION</w:t>
      </w:r>
      <w:r>
        <w:rPr>
          <w:b/>
          <w:bCs/>
        </w:rPr>
        <w:t xml:space="preserve"> </w:t>
      </w:r>
      <w:r w:rsidRPr="00B429B9">
        <w:rPr>
          <w:b/>
          <w:bCs/>
        </w:rPr>
        <w:t>1101</w:t>
      </w:r>
      <w:r w:rsidRPr="00B429B9">
        <w:rPr>
          <w:b/>
          <w:bCs/>
        </w:rPr>
        <w:br/>
        <w:t>GENERAL</w:t>
      </w:r>
    </w:p>
    <w:p w14:paraId="1D0F9151" w14:textId="77777777" w:rsidR="003D02B4" w:rsidRPr="00B429B9" w:rsidRDefault="003D02B4" w:rsidP="003D02B4">
      <w:pPr>
        <w:rPr>
          <w:b/>
          <w:bCs/>
        </w:rPr>
      </w:pPr>
      <w:r w:rsidRPr="00B429B9">
        <w:rPr>
          <w:b/>
          <w:bCs/>
        </w:rPr>
        <w:t>1101.2</w:t>
      </w:r>
      <w:r>
        <w:rPr>
          <w:b/>
          <w:bCs/>
        </w:rPr>
        <w:t xml:space="preserve"> </w:t>
      </w:r>
      <w:r w:rsidRPr="00B429B9">
        <w:rPr>
          <w:b/>
          <w:bCs/>
        </w:rPr>
        <w:t>Factory-built equipment and appliances.</w:t>
      </w:r>
    </w:p>
    <w:p w14:paraId="79469EF3" w14:textId="1A59A5B1" w:rsidR="003D02B4" w:rsidRPr="00B429B9" w:rsidRDefault="003D02B4" w:rsidP="003D02B4">
      <w:r w:rsidRPr="00B429B9">
        <w:t>Listed and labeled self-contained, factory-built equipment and appliances shall be tested in accordance with UL 207, 412, 471</w:t>
      </w:r>
      <w:r w:rsidRPr="00B429B9">
        <w:rPr>
          <w:u w:val="single"/>
        </w:rPr>
        <w:t>,</w:t>
      </w:r>
      <w:r w:rsidRPr="00B429B9">
        <w:t xml:space="preserve"> </w:t>
      </w:r>
      <w:r w:rsidRPr="0064414F">
        <w:rPr>
          <w:strike/>
        </w:rPr>
        <w:t>or</w:t>
      </w:r>
      <w:r w:rsidRPr="000B0C90">
        <w:t xml:space="preserve"> </w:t>
      </w:r>
      <w:r w:rsidRPr="00B429B9">
        <w:t>1995</w:t>
      </w:r>
      <w:r w:rsidRPr="00B429B9">
        <w:rPr>
          <w:u w:val="single"/>
        </w:rPr>
        <w:t xml:space="preserve"> </w:t>
      </w:r>
      <w:r w:rsidR="000B0C90">
        <w:rPr>
          <w:u w:val="single"/>
        </w:rPr>
        <w:t xml:space="preserve">or </w:t>
      </w:r>
      <w:r w:rsidR="00C3777F" w:rsidRPr="00C3777F">
        <w:rPr>
          <w:u w:val="single"/>
        </w:rPr>
        <w:t>UL/CSA</w:t>
      </w:r>
      <w:r w:rsidR="00C3777F">
        <w:rPr>
          <w:u w:val="single"/>
        </w:rPr>
        <w:t xml:space="preserve"> </w:t>
      </w:r>
      <w:r w:rsidRPr="00B429B9">
        <w:rPr>
          <w:u w:val="single"/>
        </w:rPr>
        <w:t>60335-2-40</w:t>
      </w:r>
      <w:r w:rsidRPr="00B429B9">
        <w:t>. Such equipment and appliances are deemed to meet the design, manufacture and factory test requirements of this code if installed in accordance with their listing and the manufacturer’s instructions.</w:t>
      </w:r>
    </w:p>
    <w:p w14:paraId="65FB2338" w14:textId="77777777" w:rsidR="00AB764C" w:rsidRDefault="00AB764C"/>
    <w:p w14:paraId="7C99E435" w14:textId="1C996064" w:rsidR="00B2116C" w:rsidRPr="00B2116C" w:rsidRDefault="00B2116C" w:rsidP="00B2116C">
      <w:pPr>
        <w:jc w:val="center"/>
        <w:rPr>
          <w:b/>
          <w:bCs/>
        </w:rPr>
      </w:pPr>
      <w:r w:rsidRPr="00B2116C">
        <w:rPr>
          <w:b/>
          <w:bCs/>
        </w:rPr>
        <w:t>CHAPTER</w:t>
      </w:r>
      <w:r>
        <w:rPr>
          <w:b/>
          <w:bCs/>
        </w:rPr>
        <w:t xml:space="preserve"> </w:t>
      </w:r>
      <w:r w:rsidRPr="00B2116C">
        <w:rPr>
          <w:b/>
          <w:bCs/>
        </w:rPr>
        <w:t>15</w:t>
      </w:r>
      <w:r w:rsidRPr="00B2116C">
        <w:rPr>
          <w:b/>
          <w:bCs/>
        </w:rPr>
        <w:br/>
        <w:t>REFERENCED STANDARDS</w:t>
      </w:r>
    </w:p>
    <w:p w14:paraId="323F5D5D" w14:textId="77777777" w:rsidR="00B2116C" w:rsidRPr="0064414F" w:rsidRDefault="00B2116C" w:rsidP="00B2116C">
      <w:pPr>
        <w:rPr>
          <w:b/>
          <w:bCs/>
        </w:rPr>
      </w:pPr>
      <w:r w:rsidRPr="0064414F">
        <w:rPr>
          <w:b/>
          <w:bCs/>
        </w:rPr>
        <w:t>ASHRAE</w:t>
      </w:r>
    </w:p>
    <w:p w14:paraId="1B964634" w14:textId="5EBBE964" w:rsidR="00B2116C" w:rsidRDefault="00B2116C" w:rsidP="00B2116C">
      <w:r w:rsidRPr="00B2116C">
        <w:t>15—</w:t>
      </w:r>
      <w:r w:rsidRPr="00B2116C">
        <w:rPr>
          <w:strike/>
        </w:rPr>
        <w:t>2013</w:t>
      </w:r>
      <w:r w:rsidRPr="00B2116C">
        <w:rPr>
          <w:u w:val="single"/>
        </w:rPr>
        <w:t>2019</w:t>
      </w:r>
      <w:r>
        <w:tab/>
      </w:r>
      <w:r>
        <w:tab/>
      </w:r>
      <w:r w:rsidR="00D90AFE" w:rsidRPr="0064414F">
        <w:tab/>
      </w:r>
      <w:r w:rsidRPr="00B2116C">
        <w:t>Safety Standard for Refrigeration Systems</w:t>
      </w:r>
    </w:p>
    <w:p w14:paraId="74AC6A01" w14:textId="5578EFD9" w:rsidR="00B2116C" w:rsidRPr="00B2116C" w:rsidRDefault="00B2116C" w:rsidP="0064414F">
      <w:pPr>
        <w:ind w:left="2160" w:firstLine="720"/>
      </w:pPr>
      <w:r w:rsidRPr="00B2116C">
        <w:t>1101.6, 1105.8, 1108.1</w:t>
      </w:r>
    </w:p>
    <w:p w14:paraId="5D84FBFA" w14:textId="69F57818" w:rsidR="00B2116C" w:rsidRPr="00B2116C" w:rsidRDefault="00B2116C" w:rsidP="00B2116C">
      <w:r w:rsidRPr="00B2116C">
        <w:t>34—</w:t>
      </w:r>
      <w:r w:rsidRPr="00B2116C">
        <w:rPr>
          <w:strike/>
        </w:rPr>
        <w:t>2013</w:t>
      </w:r>
      <w:r w:rsidRPr="00B2116C">
        <w:rPr>
          <w:u w:val="single"/>
        </w:rPr>
        <w:t>2019</w:t>
      </w:r>
      <w:r>
        <w:tab/>
      </w:r>
      <w:r>
        <w:tab/>
      </w:r>
      <w:r w:rsidR="00D90AFE">
        <w:tab/>
      </w:r>
      <w:r w:rsidRPr="00B2116C">
        <w:t>Designation and Safety Classification of Refrigerants</w:t>
      </w:r>
    </w:p>
    <w:p w14:paraId="0F802D19" w14:textId="4422B93F" w:rsidR="00B2116C" w:rsidRDefault="00B2116C" w:rsidP="0064414F">
      <w:pPr>
        <w:ind w:left="2160" w:firstLine="720"/>
      </w:pPr>
      <w:r w:rsidRPr="00B2116C">
        <w:t>202, 1102.2.1, 1103.1</w:t>
      </w:r>
    </w:p>
    <w:p w14:paraId="7827924D" w14:textId="77777777" w:rsidR="00D577A4" w:rsidRDefault="00D577A4" w:rsidP="00D90AFE">
      <w:pPr>
        <w:rPr>
          <w:b/>
          <w:bCs/>
        </w:rPr>
      </w:pPr>
    </w:p>
    <w:p w14:paraId="0F5EA1D3" w14:textId="77777777" w:rsidR="00D577A4" w:rsidRDefault="00D577A4" w:rsidP="00D90AFE">
      <w:pPr>
        <w:rPr>
          <w:b/>
          <w:bCs/>
        </w:rPr>
      </w:pPr>
    </w:p>
    <w:p w14:paraId="1D1084B0" w14:textId="77777777" w:rsidR="00D577A4" w:rsidRDefault="00D577A4" w:rsidP="00D90AFE">
      <w:pPr>
        <w:rPr>
          <w:b/>
          <w:bCs/>
        </w:rPr>
      </w:pPr>
    </w:p>
    <w:p w14:paraId="38173E21" w14:textId="3C72D98B" w:rsidR="00D90AFE" w:rsidRPr="0064414F" w:rsidRDefault="00D90AFE" w:rsidP="00D90AFE">
      <w:pPr>
        <w:rPr>
          <w:b/>
          <w:bCs/>
        </w:rPr>
      </w:pPr>
      <w:r w:rsidRPr="0064414F">
        <w:rPr>
          <w:b/>
          <w:bCs/>
        </w:rPr>
        <w:lastRenderedPageBreak/>
        <w:t>CSA</w:t>
      </w:r>
    </w:p>
    <w:p w14:paraId="30D2B42D" w14:textId="1B380B4F" w:rsidR="00D90AFE" w:rsidRPr="0064414F" w:rsidRDefault="00D90AFE" w:rsidP="00D577A4">
      <w:pPr>
        <w:ind w:left="3600" w:hanging="3600"/>
        <w:rPr>
          <w:u w:val="single"/>
        </w:rPr>
      </w:pPr>
      <w:r w:rsidRPr="0064414F">
        <w:rPr>
          <w:u w:val="single"/>
        </w:rPr>
        <w:t>UL/CSA 60335-2-40-2019</w:t>
      </w:r>
      <w:r w:rsidRPr="00D577A4">
        <w:tab/>
      </w:r>
      <w:r w:rsidRPr="0064414F">
        <w:rPr>
          <w:u w:val="single"/>
        </w:rPr>
        <w:t xml:space="preserve">Household </w:t>
      </w:r>
      <w:proofErr w:type="gramStart"/>
      <w:r w:rsidRPr="0064414F">
        <w:rPr>
          <w:u w:val="single"/>
        </w:rPr>
        <w:t>And</w:t>
      </w:r>
      <w:proofErr w:type="gramEnd"/>
      <w:r w:rsidRPr="0064414F">
        <w:rPr>
          <w:u w:val="single"/>
        </w:rPr>
        <w:t xml:space="preserve"> Similar Electrical Appliances - Safety - Part 2-40: Particular Requirements for Electrical Heat Pumps, Air-Conditioners and Dehumidifiers – 3rd Edition</w:t>
      </w:r>
    </w:p>
    <w:p w14:paraId="2A524D28" w14:textId="713E5A66" w:rsidR="00B2116C" w:rsidRPr="0064414F" w:rsidRDefault="00B2116C" w:rsidP="00B2116C">
      <w:pPr>
        <w:rPr>
          <w:b/>
          <w:bCs/>
        </w:rPr>
      </w:pPr>
      <w:r w:rsidRPr="0064414F">
        <w:rPr>
          <w:b/>
          <w:bCs/>
        </w:rPr>
        <w:t>UL</w:t>
      </w:r>
    </w:p>
    <w:p w14:paraId="62F44CFE" w14:textId="125B341E" w:rsidR="00B2116C" w:rsidRPr="00B2116C" w:rsidRDefault="00B2116C" w:rsidP="00B2116C">
      <w:r w:rsidRPr="00B2116C">
        <w:t>1995—</w:t>
      </w:r>
      <w:r w:rsidRPr="00B2116C">
        <w:rPr>
          <w:strike/>
        </w:rPr>
        <w:t>2011</w:t>
      </w:r>
      <w:r w:rsidR="00776C27">
        <w:rPr>
          <w:u w:val="single"/>
        </w:rPr>
        <w:t>2015</w:t>
      </w:r>
      <w:r>
        <w:tab/>
      </w:r>
      <w:r w:rsidR="0064414F">
        <w:tab/>
      </w:r>
      <w:r w:rsidR="00D577A4">
        <w:tab/>
      </w:r>
      <w:r w:rsidRPr="00B2116C">
        <w:t>Heating and Cooling Equipment</w:t>
      </w:r>
    </w:p>
    <w:p w14:paraId="513A9852" w14:textId="77777777" w:rsidR="00B2116C" w:rsidRPr="00B2116C" w:rsidRDefault="00B2116C" w:rsidP="00D577A4">
      <w:pPr>
        <w:ind w:left="2880" w:firstLine="720"/>
      </w:pPr>
      <w:r w:rsidRPr="00B2116C">
        <w:t xml:space="preserve">908.1, </w:t>
      </w:r>
      <w:r w:rsidRPr="00751392">
        <w:t>911.1,</w:t>
      </w:r>
      <w:r w:rsidRPr="00B2116C">
        <w:t xml:space="preserve"> 918.1, 918.2, 1101.2</w:t>
      </w:r>
    </w:p>
    <w:p w14:paraId="25B41879" w14:textId="12CC46C9" w:rsidR="00B2116C" w:rsidRDefault="000B0C90" w:rsidP="00D577A4">
      <w:pPr>
        <w:ind w:left="3600" w:hanging="3600"/>
      </w:pPr>
      <w:r w:rsidRPr="00D577A4">
        <w:rPr>
          <w:u w:val="single"/>
        </w:rPr>
        <w:t>UL/CSA</w:t>
      </w:r>
      <w:r w:rsidR="0064414F" w:rsidRPr="00D577A4">
        <w:rPr>
          <w:u w:val="single"/>
        </w:rPr>
        <w:t xml:space="preserve"> </w:t>
      </w:r>
      <w:r w:rsidR="00B2116C" w:rsidRPr="00D577A4">
        <w:rPr>
          <w:u w:val="single"/>
        </w:rPr>
        <w:t>60335-2-40-2019</w:t>
      </w:r>
      <w:r w:rsidR="00B2116C">
        <w:tab/>
      </w:r>
      <w:r w:rsidR="00B2116C" w:rsidRPr="00E754F4">
        <w:rPr>
          <w:u w:val="single"/>
        </w:rPr>
        <w:t xml:space="preserve">Household </w:t>
      </w:r>
      <w:proofErr w:type="gramStart"/>
      <w:r w:rsidR="00B2116C" w:rsidRPr="00E754F4">
        <w:rPr>
          <w:u w:val="single"/>
        </w:rPr>
        <w:t>And</w:t>
      </w:r>
      <w:proofErr w:type="gramEnd"/>
      <w:r w:rsidR="00B2116C" w:rsidRPr="00E754F4">
        <w:rPr>
          <w:u w:val="single"/>
        </w:rPr>
        <w:t xml:space="preserve"> Similar Electrical Appliances - Safety - Part 2-40: Particular Requirements for Electrical Heat Pumps, Air-Conditioners and Dehumidifiers – 3</w:t>
      </w:r>
      <w:r w:rsidR="00B2116C" w:rsidRPr="00E754F4">
        <w:rPr>
          <w:u w:val="single"/>
          <w:vertAlign w:val="superscript"/>
        </w:rPr>
        <w:t>rd</w:t>
      </w:r>
      <w:r w:rsidR="00B2116C" w:rsidRPr="00E754F4">
        <w:rPr>
          <w:u w:val="single"/>
        </w:rPr>
        <w:t xml:space="preserve"> Edition</w:t>
      </w:r>
    </w:p>
    <w:p w14:paraId="1621859E" w14:textId="77777777" w:rsidR="00C3777F" w:rsidRDefault="00C3777F">
      <w:bookmarkStart w:id="0" w:name="_GoBack"/>
      <w:bookmarkEnd w:id="0"/>
    </w:p>
    <w:p w14:paraId="5D07FAE0" w14:textId="607E22CB" w:rsidR="00BE47B5" w:rsidRDefault="003D02B4">
      <w:r w:rsidRPr="003D02B4">
        <w:t xml:space="preserve">Rationale: UL 1995 will be </w:t>
      </w:r>
      <w:proofErr w:type="spellStart"/>
      <w:r w:rsidRPr="003D02B4">
        <w:t>sunsetted</w:t>
      </w:r>
      <w:proofErr w:type="spellEnd"/>
      <w:r w:rsidRPr="003D02B4">
        <w:t xml:space="preserve"> effective 1/1/2024.  UL 1995 standard is being replaced by UL</w:t>
      </w:r>
      <w:r w:rsidR="00570C2F">
        <w:t>/CSA</w:t>
      </w:r>
      <w:r w:rsidRPr="003D02B4">
        <w:t xml:space="preserve"> 60335-2-40 standard for most products and the latest edition of this standard is the 3rd Edition – 2019.  Adding the reference to UL</w:t>
      </w:r>
      <w:r w:rsidR="00570C2F">
        <w:t>/CSA</w:t>
      </w:r>
      <w:r w:rsidRPr="003D02B4">
        <w:t xml:space="preserve"> 60335-2-40 along with UL 1995 allows manufacturers to start certifying product to this standard and avoiding conflicts with AHJs in the State of FL.  </w:t>
      </w:r>
      <w:r w:rsidR="00BE47B5">
        <w:t xml:space="preserve">The 2017 Florida Building Code – </w:t>
      </w:r>
      <w:r w:rsidR="00BC5551">
        <w:t>R</w:t>
      </w:r>
      <w:r w:rsidR="00BE47B5">
        <w:t xml:space="preserve">esidential, Sixth Edition already includes equivalent references to UL/CSA 60335-2-40 for UL </w:t>
      </w:r>
      <w:proofErr w:type="gramStart"/>
      <w:r w:rsidR="00BE47B5">
        <w:t>1995</w:t>
      </w:r>
      <w:proofErr w:type="gramEnd"/>
      <w:r w:rsidR="00BE47B5">
        <w:t xml:space="preserve"> and this should be done in the </w:t>
      </w:r>
      <w:r w:rsidR="00D55AB4">
        <w:t xml:space="preserve">Florida </w:t>
      </w:r>
      <w:r w:rsidR="00BE47B5">
        <w:t>Mechanical Code also.</w:t>
      </w:r>
    </w:p>
    <w:p w14:paraId="605EBE13" w14:textId="1AB5A672" w:rsidR="003D02B4" w:rsidRDefault="003D02B4">
      <w:r w:rsidRPr="003D02B4">
        <w:t>Please see the attached notification from UL concerning this</w:t>
      </w:r>
      <w:r w:rsidR="00BC5551">
        <w:t xml:space="preserve"> transition from UL 1995 to UL/CSA 6033</w:t>
      </w:r>
      <w:r w:rsidR="00787B44">
        <w:t>5</w:t>
      </w:r>
      <w:r w:rsidR="00BC5551">
        <w:t>-2-40.</w:t>
      </w:r>
      <w:r w:rsidR="000B0C90">
        <w:t xml:space="preserve"> The 2021 ICC International Mechanical Code will include a reference to UL/CSA 60335-2-40 in the sections identified. This was accomplished by a code change submitted by UL during the 2018 ICC Code Change Cycle. </w:t>
      </w:r>
    </w:p>
    <w:p w14:paraId="12317593" w14:textId="2C5E2709" w:rsidR="00796566" w:rsidRDefault="00796566" w:rsidP="00796566">
      <w:r>
        <w:t xml:space="preserve">While the current proposal in front of the Florida Building Commission is to update the ASHRAE 15 and ASHRAE 34 standards to the 2016 edition, my proposal is to update these referenced standards to the 2019 editions. This would allow for products approved to the latest version of the newest UL Standard to be included.  Many manufacturers, including Goodman, will be transitioning away from UL 1995 to UL 60335-2-40 for new products over the next few years, because UL 1995 be obsoleted effective 1/1/2024 (please see attached timeline from UL and attached white paper from Intertek [1]).  </w:t>
      </w:r>
      <w:proofErr w:type="gramStart"/>
      <w:r>
        <w:t>The newest 3rd edition of UL 60335-2-40,</w:t>
      </w:r>
      <w:proofErr w:type="gramEnd"/>
      <w:r>
        <w:t xml:space="preserve"> published November 2019 has many new requirements for electrical and refrigerant safety.  The 3rd edition includes requirements for UV-C germicidal lamp systems, CO2 systems, photovoltaic systems, new marking requirements, water ingress rating system as well as allowances for Low GWP Group A2L refrigerants. ASHRAE 34-2019 includes many new Low GWP refrigerants that do not appear in previous editions of the standard.  It should be noted that the 2021 ICC International Mechanical Code references the 2019 edition of ASHRAE 15 and ASHRAE 34.</w:t>
      </w:r>
    </w:p>
    <w:p w14:paraId="0E783B05" w14:textId="77777777" w:rsidR="00796566" w:rsidRDefault="00796566" w:rsidP="00796566"/>
    <w:p w14:paraId="594A650E" w14:textId="357CE9E6" w:rsidR="00796566" w:rsidRDefault="00796566" w:rsidP="00796566">
      <w:r>
        <w:t xml:space="preserve">[1] Note that Intertek wrote their white paper (referencing the 2nd edition of UL 60335-2-40) prior to publication of the 3rd edition.  The 3rd edition scope is modified such that all products within the scope of UL 1995 (a problem with the 2nd edition mentioned in the white paper) are now within scope of UL 60335-2-40.  </w:t>
      </w:r>
    </w:p>
    <w:sectPr w:rsidR="00796566" w:rsidSect="005E5128">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B9"/>
    <w:rsid w:val="00021B22"/>
    <w:rsid w:val="00047EC4"/>
    <w:rsid w:val="000B0C90"/>
    <w:rsid w:val="000D4122"/>
    <w:rsid w:val="001A5F50"/>
    <w:rsid w:val="00243981"/>
    <w:rsid w:val="002659EF"/>
    <w:rsid w:val="00265A8D"/>
    <w:rsid w:val="0032146A"/>
    <w:rsid w:val="003C1C5E"/>
    <w:rsid w:val="003C3372"/>
    <w:rsid w:val="003D02B4"/>
    <w:rsid w:val="003D62E5"/>
    <w:rsid w:val="00570C2F"/>
    <w:rsid w:val="005E5128"/>
    <w:rsid w:val="0064414F"/>
    <w:rsid w:val="006A3FC2"/>
    <w:rsid w:val="006E0A29"/>
    <w:rsid w:val="00751392"/>
    <w:rsid w:val="00776C27"/>
    <w:rsid w:val="00787B44"/>
    <w:rsid w:val="00796566"/>
    <w:rsid w:val="0082358F"/>
    <w:rsid w:val="00843890"/>
    <w:rsid w:val="008607BF"/>
    <w:rsid w:val="00A70AA0"/>
    <w:rsid w:val="00A94773"/>
    <w:rsid w:val="00AB764C"/>
    <w:rsid w:val="00AE4238"/>
    <w:rsid w:val="00B050D1"/>
    <w:rsid w:val="00B2116C"/>
    <w:rsid w:val="00B429B9"/>
    <w:rsid w:val="00BC5551"/>
    <w:rsid w:val="00BE47B5"/>
    <w:rsid w:val="00C3777F"/>
    <w:rsid w:val="00C97E0D"/>
    <w:rsid w:val="00D55AB4"/>
    <w:rsid w:val="00D577A4"/>
    <w:rsid w:val="00D90AFE"/>
    <w:rsid w:val="00E66679"/>
    <w:rsid w:val="00E754F4"/>
    <w:rsid w:val="00F1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E069"/>
  <w15:chartTrackingRefBased/>
  <w15:docId w15:val="{21F61EAE-36FD-4E76-9709-0CF2638E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1839">
      <w:bodyDiv w:val="1"/>
      <w:marLeft w:val="0"/>
      <w:marRight w:val="0"/>
      <w:marTop w:val="0"/>
      <w:marBottom w:val="0"/>
      <w:divBdr>
        <w:top w:val="none" w:sz="0" w:space="0" w:color="auto"/>
        <w:left w:val="none" w:sz="0" w:space="0" w:color="auto"/>
        <w:bottom w:val="none" w:sz="0" w:space="0" w:color="auto"/>
        <w:right w:val="none" w:sz="0" w:space="0" w:color="auto"/>
      </w:divBdr>
      <w:divsChild>
        <w:div w:id="862398657">
          <w:marLeft w:val="0"/>
          <w:marRight w:val="0"/>
          <w:marTop w:val="0"/>
          <w:marBottom w:val="0"/>
          <w:divBdr>
            <w:top w:val="none" w:sz="0" w:space="0" w:color="auto"/>
            <w:left w:val="none" w:sz="0" w:space="0" w:color="auto"/>
            <w:bottom w:val="none" w:sz="0" w:space="0" w:color="auto"/>
            <w:right w:val="none" w:sz="0" w:space="0" w:color="auto"/>
          </w:divBdr>
          <w:divsChild>
            <w:div w:id="3796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3038">
      <w:bodyDiv w:val="1"/>
      <w:marLeft w:val="0"/>
      <w:marRight w:val="0"/>
      <w:marTop w:val="0"/>
      <w:marBottom w:val="0"/>
      <w:divBdr>
        <w:top w:val="none" w:sz="0" w:space="0" w:color="auto"/>
        <w:left w:val="none" w:sz="0" w:space="0" w:color="auto"/>
        <w:bottom w:val="none" w:sz="0" w:space="0" w:color="auto"/>
        <w:right w:val="none" w:sz="0" w:space="0" w:color="auto"/>
      </w:divBdr>
      <w:divsChild>
        <w:div w:id="889195471">
          <w:marLeft w:val="0"/>
          <w:marRight w:val="0"/>
          <w:marTop w:val="0"/>
          <w:marBottom w:val="0"/>
          <w:divBdr>
            <w:top w:val="none" w:sz="0" w:space="0" w:color="auto"/>
            <w:left w:val="none" w:sz="0" w:space="0" w:color="auto"/>
            <w:bottom w:val="none" w:sz="0" w:space="0" w:color="auto"/>
            <w:right w:val="none" w:sz="0" w:space="0" w:color="auto"/>
          </w:divBdr>
          <w:divsChild>
            <w:div w:id="17467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43136">
      <w:bodyDiv w:val="1"/>
      <w:marLeft w:val="0"/>
      <w:marRight w:val="0"/>
      <w:marTop w:val="0"/>
      <w:marBottom w:val="0"/>
      <w:divBdr>
        <w:top w:val="none" w:sz="0" w:space="0" w:color="auto"/>
        <w:left w:val="none" w:sz="0" w:space="0" w:color="auto"/>
        <w:bottom w:val="none" w:sz="0" w:space="0" w:color="auto"/>
        <w:right w:val="none" w:sz="0" w:space="0" w:color="auto"/>
      </w:divBdr>
      <w:divsChild>
        <w:div w:id="1592349249">
          <w:marLeft w:val="0"/>
          <w:marRight w:val="0"/>
          <w:marTop w:val="0"/>
          <w:marBottom w:val="0"/>
          <w:divBdr>
            <w:top w:val="none" w:sz="0" w:space="0" w:color="auto"/>
            <w:left w:val="none" w:sz="0" w:space="0" w:color="auto"/>
            <w:bottom w:val="none" w:sz="0" w:space="0" w:color="auto"/>
            <w:right w:val="none" w:sz="0" w:space="0" w:color="auto"/>
          </w:divBdr>
        </w:div>
      </w:divsChild>
    </w:div>
    <w:div w:id="537400763">
      <w:bodyDiv w:val="1"/>
      <w:marLeft w:val="0"/>
      <w:marRight w:val="0"/>
      <w:marTop w:val="0"/>
      <w:marBottom w:val="0"/>
      <w:divBdr>
        <w:top w:val="none" w:sz="0" w:space="0" w:color="auto"/>
        <w:left w:val="none" w:sz="0" w:space="0" w:color="auto"/>
        <w:bottom w:val="none" w:sz="0" w:space="0" w:color="auto"/>
        <w:right w:val="none" w:sz="0" w:space="0" w:color="auto"/>
      </w:divBdr>
      <w:divsChild>
        <w:div w:id="3017606">
          <w:marLeft w:val="0"/>
          <w:marRight w:val="0"/>
          <w:marTop w:val="0"/>
          <w:marBottom w:val="0"/>
          <w:divBdr>
            <w:top w:val="none" w:sz="0" w:space="0" w:color="auto"/>
            <w:left w:val="none" w:sz="0" w:space="0" w:color="auto"/>
            <w:bottom w:val="none" w:sz="0" w:space="0" w:color="auto"/>
            <w:right w:val="none" w:sz="0" w:space="0" w:color="auto"/>
          </w:divBdr>
        </w:div>
      </w:divsChild>
    </w:div>
    <w:div w:id="835219408">
      <w:bodyDiv w:val="1"/>
      <w:marLeft w:val="0"/>
      <w:marRight w:val="0"/>
      <w:marTop w:val="0"/>
      <w:marBottom w:val="0"/>
      <w:divBdr>
        <w:top w:val="none" w:sz="0" w:space="0" w:color="auto"/>
        <w:left w:val="none" w:sz="0" w:space="0" w:color="auto"/>
        <w:bottom w:val="none" w:sz="0" w:space="0" w:color="auto"/>
        <w:right w:val="none" w:sz="0" w:space="0" w:color="auto"/>
      </w:divBdr>
      <w:divsChild>
        <w:div w:id="1884244648">
          <w:marLeft w:val="0"/>
          <w:marRight w:val="0"/>
          <w:marTop w:val="0"/>
          <w:marBottom w:val="0"/>
          <w:divBdr>
            <w:top w:val="none" w:sz="0" w:space="0" w:color="auto"/>
            <w:left w:val="none" w:sz="0" w:space="0" w:color="auto"/>
            <w:bottom w:val="none" w:sz="0" w:space="0" w:color="auto"/>
            <w:right w:val="none" w:sz="0" w:space="0" w:color="auto"/>
          </w:divBdr>
        </w:div>
      </w:divsChild>
    </w:div>
    <w:div w:id="841285843">
      <w:bodyDiv w:val="1"/>
      <w:marLeft w:val="0"/>
      <w:marRight w:val="0"/>
      <w:marTop w:val="0"/>
      <w:marBottom w:val="0"/>
      <w:divBdr>
        <w:top w:val="none" w:sz="0" w:space="0" w:color="auto"/>
        <w:left w:val="none" w:sz="0" w:space="0" w:color="auto"/>
        <w:bottom w:val="none" w:sz="0" w:space="0" w:color="auto"/>
        <w:right w:val="none" w:sz="0" w:space="0" w:color="auto"/>
      </w:divBdr>
    </w:div>
    <w:div w:id="952636465">
      <w:bodyDiv w:val="1"/>
      <w:marLeft w:val="0"/>
      <w:marRight w:val="0"/>
      <w:marTop w:val="0"/>
      <w:marBottom w:val="0"/>
      <w:divBdr>
        <w:top w:val="none" w:sz="0" w:space="0" w:color="auto"/>
        <w:left w:val="none" w:sz="0" w:space="0" w:color="auto"/>
        <w:bottom w:val="none" w:sz="0" w:space="0" w:color="auto"/>
        <w:right w:val="none" w:sz="0" w:space="0" w:color="auto"/>
      </w:divBdr>
      <w:divsChild>
        <w:div w:id="690836961">
          <w:marLeft w:val="0"/>
          <w:marRight w:val="0"/>
          <w:marTop w:val="0"/>
          <w:marBottom w:val="0"/>
          <w:divBdr>
            <w:top w:val="none" w:sz="0" w:space="0" w:color="auto"/>
            <w:left w:val="none" w:sz="0" w:space="0" w:color="auto"/>
            <w:bottom w:val="none" w:sz="0" w:space="0" w:color="auto"/>
            <w:right w:val="none" w:sz="0" w:space="0" w:color="auto"/>
          </w:divBdr>
        </w:div>
      </w:divsChild>
    </w:div>
    <w:div w:id="1090589075">
      <w:bodyDiv w:val="1"/>
      <w:marLeft w:val="0"/>
      <w:marRight w:val="0"/>
      <w:marTop w:val="0"/>
      <w:marBottom w:val="0"/>
      <w:divBdr>
        <w:top w:val="none" w:sz="0" w:space="0" w:color="auto"/>
        <w:left w:val="none" w:sz="0" w:space="0" w:color="auto"/>
        <w:bottom w:val="none" w:sz="0" w:space="0" w:color="auto"/>
        <w:right w:val="none" w:sz="0" w:space="0" w:color="auto"/>
      </w:divBdr>
      <w:divsChild>
        <w:div w:id="1117799434">
          <w:marLeft w:val="0"/>
          <w:marRight w:val="0"/>
          <w:marTop w:val="0"/>
          <w:marBottom w:val="0"/>
          <w:divBdr>
            <w:top w:val="none" w:sz="0" w:space="0" w:color="auto"/>
            <w:left w:val="none" w:sz="0" w:space="0" w:color="auto"/>
            <w:bottom w:val="none" w:sz="0" w:space="0" w:color="auto"/>
            <w:right w:val="none" w:sz="0" w:space="0" w:color="auto"/>
          </w:divBdr>
        </w:div>
      </w:divsChild>
    </w:div>
    <w:div w:id="1226650195">
      <w:bodyDiv w:val="1"/>
      <w:marLeft w:val="0"/>
      <w:marRight w:val="0"/>
      <w:marTop w:val="0"/>
      <w:marBottom w:val="0"/>
      <w:divBdr>
        <w:top w:val="none" w:sz="0" w:space="0" w:color="auto"/>
        <w:left w:val="none" w:sz="0" w:space="0" w:color="auto"/>
        <w:bottom w:val="none" w:sz="0" w:space="0" w:color="auto"/>
        <w:right w:val="none" w:sz="0" w:space="0" w:color="auto"/>
      </w:divBdr>
      <w:divsChild>
        <w:div w:id="47849986">
          <w:marLeft w:val="0"/>
          <w:marRight w:val="0"/>
          <w:marTop w:val="0"/>
          <w:marBottom w:val="0"/>
          <w:divBdr>
            <w:top w:val="none" w:sz="0" w:space="0" w:color="auto"/>
            <w:left w:val="none" w:sz="0" w:space="0" w:color="auto"/>
            <w:bottom w:val="none" w:sz="0" w:space="0" w:color="auto"/>
            <w:right w:val="none" w:sz="0" w:space="0" w:color="auto"/>
          </w:divBdr>
        </w:div>
      </w:divsChild>
    </w:div>
    <w:div w:id="1258174632">
      <w:bodyDiv w:val="1"/>
      <w:marLeft w:val="0"/>
      <w:marRight w:val="0"/>
      <w:marTop w:val="0"/>
      <w:marBottom w:val="0"/>
      <w:divBdr>
        <w:top w:val="none" w:sz="0" w:space="0" w:color="auto"/>
        <w:left w:val="none" w:sz="0" w:space="0" w:color="auto"/>
        <w:bottom w:val="none" w:sz="0" w:space="0" w:color="auto"/>
        <w:right w:val="none" w:sz="0" w:space="0" w:color="auto"/>
      </w:divBdr>
      <w:divsChild>
        <w:div w:id="842553342">
          <w:marLeft w:val="0"/>
          <w:marRight w:val="0"/>
          <w:marTop w:val="0"/>
          <w:marBottom w:val="0"/>
          <w:divBdr>
            <w:top w:val="none" w:sz="0" w:space="0" w:color="auto"/>
            <w:left w:val="none" w:sz="0" w:space="0" w:color="auto"/>
            <w:bottom w:val="none" w:sz="0" w:space="0" w:color="auto"/>
            <w:right w:val="none" w:sz="0" w:space="0" w:color="auto"/>
          </w:divBdr>
        </w:div>
      </w:divsChild>
    </w:div>
    <w:div w:id="1290628364">
      <w:bodyDiv w:val="1"/>
      <w:marLeft w:val="0"/>
      <w:marRight w:val="0"/>
      <w:marTop w:val="0"/>
      <w:marBottom w:val="0"/>
      <w:divBdr>
        <w:top w:val="none" w:sz="0" w:space="0" w:color="auto"/>
        <w:left w:val="none" w:sz="0" w:space="0" w:color="auto"/>
        <w:bottom w:val="none" w:sz="0" w:space="0" w:color="auto"/>
        <w:right w:val="none" w:sz="0" w:space="0" w:color="auto"/>
      </w:divBdr>
      <w:divsChild>
        <w:div w:id="1395355915">
          <w:marLeft w:val="0"/>
          <w:marRight w:val="0"/>
          <w:marTop w:val="0"/>
          <w:marBottom w:val="0"/>
          <w:divBdr>
            <w:top w:val="none" w:sz="0" w:space="0" w:color="auto"/>
            <w:left w:val="none" w:sz="0" w:space="0" w:color="auto"/>
            <w:bottom w:val="none" w:sz="0" w:space="0" w:color="auto"/>
            <w:right w:val="none" w:sz="0" w:space="0" w:color="auto"/>
          </w:divBdr>
        </w:div>
      </w:divsChild>
    </w:div>
    <w:div w:id="1321809563">
      <w:bodyDiv w:val="1"/>
      <w:marLeft w:val="0"/>
      <w:marRight w:val="0"/>
      <w:marTop w:val="0"/>
      <w:marBottom w:val="0"/>
      <w:divBdr>
        <w:top w:val="none" w:sz="0" w:space="0" w:color="auto"/>
        <w:left w:val="none" w:sz="0" w:space="0" w:color="auto"/>
        <w:bottom w:val="none" w:sz="0" w:space="0" w:color="auto"/>
        <w:right w:val="none" w:sz="0" w:space="0" w:color="auto"/>
      </w:divBdr>
      <w:divsChild>
        <w:div w:id="894119133">
          <w:marLeft w:val="0"/>
          <w:marRight w:val="0"/>
          <w:marTop w:val="0"/>
          <w:marBottom w:val="0"/>
          <w:divBdr>
            <w:top w:val="none" w:sz="0" w:space="0" w:color="auto"/>
            <w:left w:val="none" w:sz="0" w:space="0" w:color="auto"/>
            <w:bottom w:val="none" w:sz="0" w:space="0" w:color="auto"/>
            <w:right w:val="none" w:sz="0" w:space="0" w:color="auto"/>
          </w:divBdr>
        </w:div>
        <w:div w:id="860558321">
          <w:marLeft w:val="0"/>
          <w:marRight w:val="0"/>
          <w:marTop w:val="0"/>
          <w:marBottom w:val="0"/>
          <w:divBdr>
            <w:top w:val="none" w:sz="0" w:space="0" w:color="auto"/>
            <w:left w:val="none" w:sz="0" w:space="0" w:color="auto"/>
            <w:bottom w:val="none" w:sz="0" w:space="0" w:color="auto"/>
            <w:right w:val="none" w:sz="0" w:space="0" w:color="auto"/>
          </w:divBdr>
          <w:divsChild>
            <w:div w:id="1889680957">
              <w:marLeft w:val="0"/>
              <w:marRight w:val="0"/>
              <w:marTop w:val="0"/>
              <w:marBottom w:val="0"/>
              <w:divBdr>
                <w:top w:val="none" w:sz="0" w:space="0" w:color="auto"/>
                <w:left w:val="none" w:sz="0" w:space="0" w:color="auto"/>
                <w:bottom w:val="none" w:sz="0" w:space="0" w:color="auto"/>
                <w:right w:val="none" w:sz="0" w:space="0" w:color="auto"/>
              </w:divBdr>
            </w:div>
          </w:divsChild>
        </w:div>
        <w:div w:id="799415567">
          <w:marLeft w:val="0"/>
          <w:marRight w:val="0"/>
          <w:marTop w:val="0"/>
          <w:marBottom w:val="0"/>
          <w:divBdr>
            <w:top w:val="none" w:sz="0" w:space="0" w:color="auto"/>
            <w:left w:val="none" w:sz="0" w:space="0" w:color="auto"/>
            <w:bottom w:val="none" w:sz="0" w:space="0" w:color="auto"/>
            <w:right w:val="none" w:sz="0" w:space="0" w:color="auto"/>
          </w:divBdr>
          <w:divsChild>
            <w:div w:id="456069092">
              <w:marLeft w:val="0"/>
              <w:marRight w:val="0"/>
              <w:marTop w:val="0"/>
              <w:marBottom w:val="0"/>
              <w:divBdr>
                <w:top w:val="none" w:sz="0" w:space="0" w:color="auto"/>
                <w:left w:val="none" w:sz="0" w:space="0" w:color="auto"/>
                <w:bottom w:val="none" w:sz="0" w:space="0" w:color="auto"/>
                <w:right w:val="none" w:sz="0" w:space="0" w:color="auto"/>
              </w:divBdr>
            </w:div>
          </w:divsChild>
        </w:div>
        <w:div w:id="1433353452">
          <w:marLeft w:val="0"/>
          <w:marRight w:val="0"/>
          <w:marTop w:val="0"/>
          <w:marBottom w:val="0"/>
          <w:divBdr>
            <w:top w:val="none" w:sz="0" w:space="0" w:color="auto"/>
            <w:left w:val="none" w:sz="0" w:space="0" w:color="auto"/>
            <w:bottom w:val="none" w:sz="0" w:space="0" w:color="auto"/>
            <w:right w:val="none" w:sz="0" w:space="0" w:color="auto"/>
          </w:divBdr>
          <w:divsChild>
            <w:div w:id="1333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2828">
      <w:bodyDiv w:val="1"/>
      <w:marLeft w:val="0"/>
      <w:marRight w:val="0"/>
      <w:marTop w:val="0"/>
      <w:marBottom w:val="0"/>
      <w:divBdr>
        <w:top w:val="none" w:sz="0" w:space="0" w:color="auto"/>
        <w:left w:val="none" w:sz="0" w:space="0" w:color="auto"/>
        <w:bottom w:val="none" w:sz="0" w:space="0" w:color="auto"/>
        <w:right w:val="none" w:sz="0" w:space="0" w:color="auto"/>
      </w:divBdr>
      <w:divsChild>
        <w:div w:id="1196772083">
          <w:marLeft w:val="0"/>
          <w:marRight w:val="0"/>
          <w:marTop w:val="0"/>
          <w:marBottom w:val="0"/>
          <w:divBdr>
            <w:top w:val="none" w:sz="0" w:space="0" w:color="auto"/>
            <w:left w:val="none" w:sz="0" w:space="0" w:color="auto"/>
            <w:bottom w:val="none" w:sz="0" w:space="0" w:color="auto"/>
            <w:right w:val="none" w:sz="0" w:space="0" w:color="auto"/>
          </w:divBdr>
        </w:div>
      </w:divsChild>
    </w:div>
    <w:div w:id="1896309965">
      <w:bodyDiv w:val="1"/>
      <w:marLeft w:val="0"/>
      <w:marRight w:val="0"/>
      <w:marTop w:val="0"/>
      <w:marBottom w:val="0"/>
      <w:divBdr>
        <w:top w:val="none" w:sz="0" w:space="0" w:color="auto"/>
        <w:left w:val="none" w:sz="0" w:space="0" w:color="auto"/>
        <w:bottom w:val="none" w:sz="0" w:space="0" w:color="auto"/>
        <w:right w:val="none" w:sz="0" w:space="0" w:color="auto"/>
      </w:divBdr>
      <w:divsChild>
        <w:div w:id="1679963012">
          <w:marLeft w:val="0"/>
          <w:marRight w:val="0"/>
          <w:marTop w:val="0"/>
          <w:marBottom w:val="0"/>
          <w:divBdr>
            <w:top w:val="none" w:sz="0" w:space="0" w:color="auto"/>
            <w:left w:val="none" w:sz="0" w:space="0" w:color="auto"/>
            <w:bottom w:val="none" w:sz="0" w:space="0" w:color="auto"/>
            <w:right w:val="none" w:sz="0" w:space="0" w:color="auto"/>
          </w:divBdr>
        </w:div>
      </w:divsChild>
    </w:div>
    <w:div w:id="1900356644">
      <w:bodyDiv w:val="1"/>
      <w:marLeft w:val="0"/>
      <w:marRight w:val="0"/>
      <w:marTop w:val="0"/>
      <w:marBottom w:val="0"/>
      <w:divBdr>
        <w:top w:val="none" w:sz="0" w:space="0" w:color="auto"/>
        <w:left w:val="none" w:sz="0" w:space="0" w:color="auto"/>
        <w:bottom w:val="none" w:sz="0" w:space="0" w:color="auto"/>
        <w:right w:val="none" w:sz="0" w:space="0" w:color="auto"/>
      </w:divBdr>
      <w:divsChild>
        <w:div w:id="171917509">
          <w:marLeft w:val="0"/>
          <w:marRight w:val="0"/>
          <w:marTop w:val="0"/>
          <w:marBottom w:val="0"/>
          <w:divBdr>
            <w:top w:val="none" w:sz="0" w:space="0" w:color="auto"/>
            <w:left w:val="none" w:sz="0" w:space="0" w:color="auto"/>
            <w:bottom w:val="none" w:sz="0" w:space="0" w:color="auto"/>
            <w:right w:val="none" w:sz="0" w:space="0" w:color="auto"/>
          </w:divBdr>
        </w:div>
      </w:divsChild>
    </w:div>
    <w:div w:id="214002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Glass, Robert S.</cp:lastModifiedBy>
  <cp:revision>7</cp:revision>
  <dcterms:created xsi:type="dcterms:W3CDTF">2020-03-30T15:48:00Z</dcterms:created>
  <dcterms:modified xsi:type="dcterms:W3CDTF">2020-03-30T20:17:00Z</dcterms:modified>
</cp:coreProperties>
</file>